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1A" w:rsidRPr="00D564CC" w:rsidRDefault="00377E11" w:rsidP="003C2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C211A" w:rsidRPr="00D564CC">
        <w:rPr>
          <w:rFonts w:ascii="Times New Roman" w:hAnsi="Times New Roman" w:cs="Times New Roman"/>
          <w:sz w:val="24"/>
          <w:szCs w:val="24"/>
        </w:rPr>
        <w:t xml:space="preserve">Hector </w:t>
      </w:r>
      <w:proofErr w:type="spellStart"/>
      <w:r w:rsidR="003C211A" w:rsidRPr="00D564CC">
        <w:rPr>
          <w:rFonts w:ascii="Times New Roman" w:hAnsi="Times New Roman" w:cs="Times New Roman"/>
          <w:sz w:val="24"/>
          <w:szCs w:val="24"/>
        </w:rPr>
        <w:t>Pieterson</w:t>
      </w:r>
      <w:proofErr w:type="spellEnd"/>
      <w:r w:rsidR="003C211A" w:rsidRPr="00D564CC">
        <w:rPr>
          <w:rFonts w:ascii="Times New Roman" w:hAnsi="Times New Roman" w:cs="Times New Roman"/>
          <w:sz w:val="24"/>
          <w:szCs w:val="24"/>
        </w:rPr>
        <w:t xml:space="preserve"> was 12 when he died. Today a museum bearing his name</w:t>
      </w:r>
      <w:r w:rsidR="00B8425E">
        <w:rPr>
          <w:rFonts w:ascii="Times New Roman" w:hAnsi="Times New Roman" w:cs="Times New Roman"/>
          <w:sz w:val="24"/>
          <w:szCs w:val="24"/>
        </w:rPr>
        <w:t xml:space="preserve"> </w:t>
      </w:r>
      <w:r w:rsidR="003C211A" w:rsidRPr="00D564CC">
        <w:rPr>
          <w:rFonts w:ascii="Times New Roman" w:hAnsi="Times New Roman" w:cs="Times New Roman"/>
          <w:sz w:val="24"/>
          <w:szCs w:val="24"/>
        </w:rPr>
        <w:t>commemorates his death—and hundreds of others—which occurred some 30 years ago</w:t>
      </w:r>
      <w:r w:rsidR="00B8425E">
        <w:rPr>
          <w:rFonts w:ascii="Times New Roman" w:hAnsi="Times New Roman" w:cs="Times New Roman"/>
          <w:sz w:val="24"/>
          <w:szCs w:val="24"/>
        </w:rPr>
        <w:t xml:space="preserve"> </w:t>
      </w:r>
      <w:r w:rsidR="003C211A" w:rsidRPr="00D564CC">
        <w:rPr>
          <w:rFonts w:ascii="Times New Roman" w:hAnsi="Times New Roman" w:cs="Times New Roman"/>
          <w:sz w:val="24"/>
          <w:szCs w:val="24"/>
        </w:rPr>
        <w:t>at a place whose name has come to symbolise uprising against oppression: Soweto.</w:t>
      </w:r>
    </w:p>
    <w:p w:rsidR="003C211A" w:rsidRPr="00D564CC" w:rsidRDefault="003C211A" w:rsidP="003C2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1A" w:rsidRPr="00B8425E" w:rsidRDefault="003C211A" w:rsidP="003C2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4CC">
        <w:rPr>
          <w:rFonts w:ascii="Times New Roman" w:hAnsi="Times New Roman" w:cs="Times New Roman"/>
          <w:sz w:val="24"/>
          <w:szCs w:val="24"/>
        </w:rPr>
        <w:t>Explain fully any way in which the writer makes the opening paragraph</w:t>
      </w:r>
      <w:r w:rsidR="00B8425E">
        <w:rPr>
          <w:rFonts w:ascii="Times New Roman" w:hAnsi="Times New Roman" w:cs="Times New Roman"/>
          <w:sz w:val="24"/>
          <w:szCs w:val="24"/>
        </w:rPr>
        <w:t xml:space="preserve"> </w:t>
      </w:r>
      <w:r w:rsidRPr="00D564CC">
        <w:rPr>
          <w:rFonts w:ascii="Times New Roman" w:hAnsi="Times New Roman" w:cs="Times New Roman"/>
          <w:sz w:val="24"/>
          <w:szCs w:val="24"/>
        </w:rPr>
        <w:t xml:space="preserve">dramatic. </w:t>
      </w:r>
      <w:r w:rsidRPr="00D564CC">
        <w:rPr>
          <w:rFonts w:ascii="Times New Roman" w:hAnsi="Times New Roman" w:cs="Times New Roman"/>
          <w:b/>
          <w:bCs/>
          <w:sz w:val="24"/>
          <w:szCs w:val="24"/>
        </w:rPr>
        <w:t>2 A</w:t>
      </w:r>
    </w:p>
    <w:p w:rsidR="00B8425E" w:rsidRDefault="00B8425E" w:rsidP="003C21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C211A" w:rsidRPr="00D564CC" w:rsidRDefault="003C211A" w:rsidP="003C21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564CC">
        <w:rPr>
          <w:rFonts w:ascii="Times New Roman" w:hAnsi="Times New Roman" w:cs="Times New Roman"/>
          <w:iCs/>
          <w:sz w:val="24"/>
          <w:szCs w:val="24"/>
        </w:rPr>
        <w:t>The bluntness/brevity/content (1) of the opening sentence (1);</w:t>
      </w:r>
    </w:p>
    <w:p w:rsidR="003C211A" w:rsidRPr="00D564CC" w:rsidRDefault="003C211A" w:rsidP="003C21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564CC">
        <w:rPr>
          <w:rFonts w:ascii="Times New Roman" w:hAnsi="Times New Roman" w:cs="Times New Roman"/>
          <w:iCs/>
          <w:sz w:val="24"/>
          <w:szCs w:val="24"/>
        </w:rPr>
        <w:t>“</w:t>
      </w:r>
      <w:proofErr w:type="gramStart"/>
      <w:r w:rsidRPr="00D564CC">
        <w:rPr>
          <w:rFonts w:ascii="Times New Roman" w:hAnsi="Times New Roman" w:cs="Times New Roman"/>
          <w:iCs/>
          <w:sz w:val="24"/>
          <w:szCs w:val="24"/>
        </w:rPr>
        <w:t>hundreds</w:t>
      </w:r>
      <w:proofErr w:type="gramEnd"/>
      <w:r w:rsidRPr="00D564CC">
        <w:rPr>
          <w:rFonts w:ascii="Times New Roman" w:hAnsi="Times New Roman" w:cs="Times New Roman"/>
          <w:iCs/>
          <w:sz w:val="24"/>
          <w:szCs w:val="24"/>
        </w:rPr>
        <w:t xml:space="preserve"> of others” is emphasised (1) by use of parenthesis (1);</w:t>
      </w:r>
    </w:p>
    <w:p w:rsidR="003C211A" w:rsidRPr="00D564CC" w:rsidRDefault="003C211A" w:rsidP="003C21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564CC">
        <w:rPr>
          <w:rFonts w:ascii="Times New Roman" w:hAnsi="Times New Roman" w:cs="Times New Roman"/>
          <w:iCs/>
          <w:sz w:val="24"/>
          <w:szCs w:val="24"/>
        </w:rPr>
        <w:t>the</w:t>
      </w:r>
      <w:proofErr w:type="gramEnd"/>
      <w:r w:rsidRPr="00D564CC">
        <w:rPr>
          <w:rFonts w:ascii="Times New Roman" w:hAnsi="Times New Roman" w:cs="Times New Roman"/>
          <w:iCs/>
          <w:sz w:val="24"/>
          <w:szCs w:val="24"/>
        </w:rPr>
        <w:t xml:space="preserve"> use of the colon (1) isolates or enforces the pause before “Soweto” (1);</w:t>
      </w:r>
    </w:p>
    <w:p w:rsidR="003C211A" w:rsidRPr="00D564CC" w:rsidRDefault="003C211A" w:rsidP="003C21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564CC">
        <w:rPr>
          <w:rFonts w:ascii="Times New Roman" w:hAnsi="Times New Roman" w:cs="Times New Roman"/>
          <w:iCs/>
          <w:sz w:val="24"/>
          <w:szCs w:val="24"/>
        </w:rPr>
        <w:t>the</w:t>
      </w:r>
      <w:proofErr w:type="gramEnd"/>
      <w:r w:rsidRPr="00D564CC">
        <w:rPr>
          <w:rFonts w:ascii="Times New Roman" w:hAnsi="Times New Roman" w:cs="Times New Roman"/>
          <w:iCs/>
          <w:sz w:val="24"/>
          <w:szCs w:val="24"/>
        </w:rPr>
        <w:t xml:space="preserve"> positioning of “Soweto” (1) gives a climactic effect (1)</w:t>
      </w:r>
    </w:p>
    <w:p w:rsidR="003C211A" w:rsidRPr="00D564CC" w:rsidRDefault="003C211A" w:rsidP="003C21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564CC">
        <w:rPr>
          <w:rFonts w:ascii="Times New Roman" w:hAnsi="Times New Roman" w:cs="Times New Roman"/>
          <w:iCs/>
          <w:sz w:val="24"/>
          <w:szCs w:val="24"/>
        </w:rPr>
        <w:t>Any one: quotation/reference (1), comment (1)</w:t>
      </w:r>
    </w:p>
    <w:p w:rsidR="00377E11" w:rsidRDefault="00377E11" w:rsidP="003C2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1A" w:rsidRPr="00D564CC" w:rsidRDefault="00377E11" w:rsidP="003C2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C211A" w:rsidRPr="00D564CC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3C211A" w:rsidRPr="00D564CC">
        <w:rPr>
          <w:rFonts w:ascii="Times New Roman" w:hAnsi="Times New Roman" w:cs="Times New Roman"/>
          <w:sz w:val="24"/>
          <w:szCs w:val="24"/>
        </w:rPr>
        <w:t xml:space="preserve"> is what the youth of Soweto wanted—a future in their own words. And they got it.</w:t>
      </w:r>
    </w:p>
    <w:p w:rsidR="003C211A" w:rsidRPr="00D564CC" w:rsidRDefault="003C211A" w:rsidP="003C2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1A" w:rsidRPr="00D564CC" w:rsidRDefault="003C211A" w:rsidP="003C2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4CC">
        <w:rPr>
          <w:rFonts w:ascii="Times New Roman" w:hAnsi="Times New Roman" w:cs="Times New Roman"/>
          <w:sz w:val="24"/>
          <w:szCs w:val="24"/>
        </w:rPr>
        <w:t xml:space="preserve">Explain how any aspect of the </w:t>
      </w:r>
      <w:r w:rsidRPr="00D564CC">
        <w:rPr>
          <w:rFonts w:ascii="Times New Roman" w:hAnsi="Times New Roman" w:cs="Times New Roman"/>
          <w:b/>
          <w:bCs/>
          <w:sz w:val="24"/>
          <w:szCs w:val="24"/>
        </w:rPr>
        <w:t xml:space="preserve">structure </w:t>
      </w:r>
      <w:r w:rsidRPr="00D564CC">
        <w:rPr>
          <w:rFonts w:ascii="Times New Roman" w:hAnsi="Times New Roman" w:cs="Times New Roman"/>
          <w:sz w:val="24"/>
          <w:szCs w:val="24"/>
        </w:rPr>
        <w:t>of the paragraph in line 59 contributes to its</w:t>
      </w:r>
      <w:r w:rsidR="00B8425E">
        <w:rPr>
          <w:rFonts w:ascii="Times New Roman" w:hAnsi="Times New Roman" w:cs="Times New Roman"/>
          <w:sz w:val="24"/>
          <w:szCs w:val="24"/>
        </w:rPr>
        <w:t xml:space="preserve"> </w:t>
      </w:r>
      <w:r w:rsidRPr="00D564CC">
        <w:rPr>
          <w:rFonts w:ascii="Times New Roman" w:hAnsi="Times New Roman" w:cs="Times New Roman"/>
          <w:sz w:val="24"/>
          <w:szCs w:val="24"/>
        </w:rPr>
        <w:t>effectiveness.</w:t>
      </w:r>
    </w:p>
    <w:p w:rsidR="00B8425E" w:rsidRDefault="00B8425E" w:rsidP="003C21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C211A" w:rsidRPr="00D564CC" w:rsidRDefault="003C211A" w:rsidP="003C21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564CC">
        <w:rPr>
          <w:rFonts w:ascii="Times New Roman" w:hAnsi="Times New Roman" w:cs="Times New Roman"/>
          <w:iCs/>
          <w:sz w:val="24"/>
          <w:szCs w:val="24"/>
        </w:rPr>
        <w:t>The long and short sentences (1) contrast (1)</w:t>
      </w:r>
    </w:p>
    <w:p w:rsidR="003C211A" w:rsidRPr="00D564CC" w:rsidRDefault="003C211A" w:rsidP="003C21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564CC">
        <w:rPr>
          <w:rFonts w:ascii="Times New Roman" w:hAnsi="Times New Roman" w:cs="Times New Roman"/>
          <w:iCs/>
          <w:sz w:val="24"/>
          <w:szCs w:val="24"/>
        </w:rPr>
        <w:t>OR the dash (1) produces a (dramatic) delay (1)</w:t>
      </w:r>
    </w:p>
    <w:p w:rsidR="003C211A" w:rsidRPr="00D564CC" w:rsidRDefault="003C211A" w:rsidP="003C21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564CC">
        <w:rPr>
          <w:rFonts w:ascii="Times New Roman" w:hAnsi="Times New Roman" w:cs="Times New Roman"/>
          <w:iCs/>
          <w:sz w:val="24"/>
          <w:szCs w:val="24"/>
        </w:rPr>
        <w:t>OR the brevity of the second sentence (1) produces impact (1)</w:t>
      </w:r>
    </w:p>
    <w:p w:rsidR="003C211A" w:rsidRDefault="003C211A" w:rsidP="003C21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564CC">
        <w:rPr>
          <w:rFonts w:ascii="Times New Roman" w:hAnsi="Times New Roman" w:cs="Times New Roman"/>
          <w:iCs/>
          <w:sz w:val="24"/>
          <w:szCs w:val="24"/>
        </w:rPr>
        <w:t>OR the introduction of the second sentence with “And” (1) produces impact (1)</w:t>
      </w:r>
    </w:p>
    <w:p w:rsidR="003C211A" w:rsidRPr="00D564CC" w:rsidRDefault="003C211A" w:rsidP="003C21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C211A" w:rsidRPr="00B8425E" w:rsidRDefault="00377E11" w:rsidP="003C2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3C211A" w:rsidRPr="00D564CC">
        <w:rPr>
          <w:rFonts w:ascii="Times New Roman" w:hAnsi="Times New Roman" w:cs="Times New Roman"/>
          <w:sz w:val="24"/>
          <w:szCs w:val="24"/>
        </w:rPr>
        <w:t>But as that new way of living arrives—as we retreat from the wild places, and the fences</w:t>
      </w:r>
      <w:r w:rsidR="00B8425E">
        <w:rPr>
          <w:rFonts w:ascii="Times New Roman" w:hAnsi="Times New Roman" w:cs="Times New Roman"/>
          <w:sz w:val="24"/>
          <w:szCs w:val="24"/>
        </w:rPr>
        <w:t xml:space="preserve"> </w:t>
      </w:r>
      <w:r w:rsidR="003C211A" w:rsidRPr="00D564CC">
        <w:rPr>
          <w:rFonts w:ascii="Times New Roman" w:hAnsi="Times New Roman" w:cs="Times New Roman"/>
          <w:sz w:val="24"/>
          <w:szCs w:val="24"/>
        </w:rPr>
        <w:t>of national parks go up; as we cease the exploitation of animals, and the cow, the camel,</w:t>
      </w:r>
      <w:r w:rsidR="00B8425E">
        <w:rPr>
          <w:rFonts w:ascii="Times New Roman" w:hAnsi="Times New Roman" w:cs="Times New Roman"/>
          <w:sz w:val="24"/>
          <w:szCs w:val="24"/>
        </w:rPr>
        <w:t xml:space="preserve"> </w:t>
      </w:r>
      <w:r w:rsidR="003C211A" w:rsidRPr="00D564CC">
        <w:rPr>
          <w:rFonts w:ascii="Times New Roman" w:hAnsi="Times New Roman" w:cs="Times New Roman"/>
          <w:sz w:val="24"/>
          <w:szCs w:val="24"/>
        </w:rPr>
        <w:t>the sheep, the chicken and the pig become items in modern exhibition farms, where</w:t>
      </w:r>
      <w:r w:rsidR="00B8425E">
        <w:rPr>
          <w:rFonts w:ascii="Times New Roman" w:hAnsi="Times New Roman" w:cs="Times New Roman"/>
          <w:sz w:val="24"/>
          <w:szCs w:val="24"/>
        </w:rPr>
        <w:t xml:space="preserve"> </w:t>
      </w:r>
      <w:r w:rsidR="003C211A" w:rsidRPr="00D564CC">
        <w:rPr>
          <w:rFonts w:ascii="Times New Roman" w:hAnsi="Times New Roman" w:cs="Times New Roman"/>
          <w:sz w:val="24"/>
          <w:szCs w:val="24"/>
        </w:rPr>
        <w:t>schoolchildren see how mankind used to live; as our direct contact with our fellow</w:t>
      </w:r>
      <w:r w:rsidR="00B8425E">
        <w:rPr>
          <w:rFonts w:ascii="Times New Roman" w:hAnsi="Times New Roman" w:cs="Times New Roman"/>
          <w:sz w:val="24"/>
          <w:szCs w:val="24"/>
        </w:rPr>
        <w:t xml:space="preserve"> </w:t>
      </w:r>
      <w:r w:rsidR="003C211A" w:rsidRPr="00D564CC">
        <w:rPr>
          <w:rFonts w:ascii="Times New Roman" w:hAnsi="Times New Roman" w:cs="Times New Roman"/>
          <w:sz w:val="24"/>
          <w:szCs w:val="24"/>
        </w:rPr>
        <w:t>creatures is restricted to zoos, pets and fish tanks; and as every area of natural beauty is</w:t>
      </w:r>
      <w:r w:rsidR="00B8425E">
        <w:rPr>
          <w:rFonts w:ascii="Times New Roman" w:hAnsi="Times New Roman" w:cs="Times New Roman"/>
          <w:sz w:val="24"/>
          <w:szCs w:val="24"/>
        </w:rPr>
        <w:t xml:space="preserve"> </w:t>
      </w:r>
      <w:r w:rsidR="003C211A" w:rsidRPr="00D564CC">
        <w:rPr>
          <w:rFonts w:ascii="Times New Roman" w:hAnsi="Times New Roman" w:cs="Times New Roman"/>
          <w:sz w:val="24"/>
          <w:szCs w:val="24"/>
        </w:rPr>
        <w:t>set about with preservation orders and rules to keep human interference to a</w:t>
      </w:r>
      <w:r w:rsidR="00B8425E">
        <w:rPr>
          <w:rFonts w:ascii="Times New Roman" w:hAnsi="Times New Roman" w:cs="Times New Roman"/>
          <w:sz w:val="24"/>
          <w:szCs w:val="24"/>
        </w:rPr>
        <w:t xml:space="preserve"> </w:t>
      </w:r>
      <w:r w:rsidR="003C211A" w:rsidRPr="00D564CC">
        <w:rPr>
          <w:rFonts w:ascii="Times New Roman" w:hAnsi="Times New Roman" w:cs="Times New Roman"/>
          <w:sz w:val="24"/>
          <w:szCs w:val="24"/>
        </w:rPr>
        <w:t>minimum—will we not be separating ourselves from our planet in order, as we suppose,</w:t>
      </w:r>
      <w:r w:rsidR="00B8425E">
        <w:rPr>
          <w:rFonts w:ascii="Times New Roman" w:hAnsi="Times New Roman" w:cs="Times New Roman"/>
          <w:sz w:val="24"/>
          <w:szCs w:val="24"/>
        </w:rPr>
        <w:t xml:space="preserve"> </w:t>
      </w:r>
      <w:r w:rsidR="003C211A" w:rsidRPr="00D564CC">
        <w:rPr>
          <w:rFonts w:ascii="Times New Roman" w:hAnsi="Times New Roman" w:cs="Times New Roman"/>
          <w:sz w:val="24"/>
          <w:szCs w:val="24"/>
        </w:rPr>
        <w:t>to look after it better? Will we not be loving nature, but leaving it?</w:t>
      </w:r>
    </w:p>
    <w:tbl>
      <w:tblPr>
        <w:tblW w:w="9214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"/>
        <w:gridCol w:w="4465"/>
        <w:gridCol w:w="240"/>
        <w:gridCol w:w="2787"/>
        <w:gridCol w:w="1688"/>
      </w:tblGrid>
      <w:tr w:rsidR="003C211A" w:rsidRPr="00D564CC" w:rsidTr="00F00F58">
        <w:trPr>
          <w:trHeight w:val="144"/>
        </w:trPr>
        <w:tc>
          <w:tcPr>
            <w:tcW w:w="9214" w:type="dxa"/>
            <w:gridSpan w:val="5"/>
          </w:tcPr>
          <w:p w:rsidR="003C211A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5E" w:rsidRDefault="00377E11" w:rsidP="004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r w:rsidR="003C211A" w:rsidRPr="00D564CC">
              <w:rPr>
                <w:rFonts w:ascii="Times New Roman" w:hAnsi="Times New Roman" w:cs="Times New Roman"/>
                <w:sz w:val="24"/>
                <w:szCs w:val="24"/>
              </w:rPr>
              <w:t xml:space="preserve">Look at lines 60 – 67. </w:t>
            </w:r>
          </w:p>
          <w:p w:rsidR="003C211A" w:rsidRPr="00D564CC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CC">
              <w:rPr>
                <w:rFonts w:ascii="Times New Roman" w:hAnsi="Times New Roman" w:cs="Times New Roman"/>
                <w:sz w:val="24"/>
                <w:szCs w:val="24"/>
              </w:rPr>
              <w:t xml:space="preserve">Identify any feature of </w:t>
            </w:r>
            <w:r w:rsidRPr="00D56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sentence structure </w:t>
            </w:r>
            <w:r w:rsidRPr="00D564CC">
              <w:rPr>
                <w:rFonts w:ascii="Times New Roman" w:hAnsi="Times New Roman" w:cs="Times New Roman"/>
                <w:sz w:val="24"/>
                <w:szCs w:val="24"/>
              </w:rPr>
              <w:t xml:space="preserve">the writer uses effectively in this paragraph.  </w:t>
            </w:r>
          </w:p>
        </w:tc>
      </w:tr>
      <w:tr w:rsidR="003C211A" w:rsidRPr="00D564CC" w:rsidTr="00F00F58">
        <w:trPr>
          <w:trHeight w:val="272"/>
        </w:trPr>
        <w:tc>
          <w:tcPr>
            <w:tcW w:w="4499" w:type="dxa"/>
            <w:gridSpan w:val="2"/>
          </w:tcPr>
          <w:p w:rsidR="003C211A" w:rsidRPr="00D564CC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7" w:type="dxa"/>
            <w:gridSpan w:val="2"/>
          </w:tcPr>
          <w:p w:rsidR="003C211A" w:rsidRPr="00D564CC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C211A" w:rsidRPr="00D564CC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A </w:t>
            </w:r>
          </w:p>
        </w:tc>
      </w:tr>
      <w:tr w:rsidR="003C211A" w:rsidRPr="00D564CC" w:rsidTr="00F00F58">
        <w:trPr>
          <w:trHeight w:val="778"/>
        </w:trPr>
        <w:tc>
          <w:tcPr>
            <w:tcW w:w="9214" w:type="dxa"/>
            <w:gridSpan w:val="5"/>
          </w:tcPr>
          <w:p w:rsidR="003C211A" w:rsidRPr="00D564CC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Use of parenthesis </w:t>
            </w:r>
          </w:p>
          <w:p w:rsidR="003C211A" w:rsidRPr="00D564CC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OR use of semi-colon </w:t>
            </w:r>
          </w:p>
          <w:p w:rsidR="003C211A" w:rsidRPr="00D564CC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OR repeated use of (clauses starting with) “as” listing </w:t>
            </w:r>
          </w:p>
          <w:p w:rsidR="003C211A" w:rsidRPr="00D564CC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OR use of (negative) question(s) </w:t>
            </w:r>
          </w:p>
          <w:p w:rsidR="003C211A" w:rsidRPr="00D564CC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64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Any one (1) </w:t>
            </w:r>
          </w:p>
          <w:p w:rsidR="003C211A" w:rsidRPr="00D564CC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1A" w:rsidRPr="00D564CC" w:rsidTr="00F00F58">
        <w:trPr>
          <w:trHeight w:val="146"/>
        </w:trPr>
        <w:tc>
          <w:tcPr>
            <w:tcW w:w="4499" w:type="dxa"/>
            <w:gridSpan w:val="2"/>
          </w:tcPr>
          <w:p w:rsidR="003C211A" w:rsidRPr="00B8425E" w:rsidRDefault="003C211A" w:rsidP="003C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5E">
              <w:rPr>
                <w:rFonts w:ascii="Times New Roman" w:hAnsi="Times New Roman" w:cs="Times New Roman"/>
                <w:sz w:val="24"/>
                <w:szCs w:val="24"/>
              </w:rPr>
              <w:t xml:space="preserve">(b) Show how your chosen feature helps </w:t>
            </w:r>
            <w:r w:rsidR="00B8425E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B8425E">
              <w:rPr>
                <w:rFonts w:ascii="Times New Roman" w:hAnsi="Times New Roman" w:cs="Times New Roman"/>
                <w:sz w:val="24"/>
                <w:szCs w:val="24"/>
              </w:rPr>
              <w:t>clarify or support the writer’s argument.</w:t>
            </w:r>
          </w:p>
        </w:tc>
        <w:tc>
          <w:tcPr>
            <w:tcW w:w="3027" w:type="dxa"/>
            <w:gridSpan w:val="2"/>
          </w:tcPr>
          <w:p w:rsidR="003C211A" w:rsidRPr="00B8425E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C211A" w:rsidRPr="00D564CC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A </w:t>
            </w:r>
          </w:p>
        </w:tc>
      </w:tr>
      <w:tr w:rsidR="003C211A" w:rsidRPr="00D564CC" w:rsidTr="00F00F58">
        <w:trPr>
          <w:trHeight w:val="1664"/>
        </w:trPr>
        <w:tc>
          <w:tcPr>
            <w:tcW w:w="9214" w:type="dxa"/>
            <w:gridSpan w:val="5"/>
          </w:tcPr>
          <w:p w:rsidR="003C211A" w:rsidRPr="00D564CC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Feature Effect </w:t>
            </w:r>
          </w:p>
          <w:p w:rsidR="003C211A" w:rsidRPr="00D564CC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Use of parenthesis Helps identify/isolate/specify (1) what the “new way of living” is (1) </w:t>
            </w:r>
          </w:p>
          <w:p w:rsidR="003C211A" w:rsidRPr="00D564CC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Semi-colon construction OR use of “as” OR listing </w:t>
            </w:r>
          </w:p>
          <w:p w:rsidR="003C211A" w:rsidRPr="00D564CC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Gives idea of multiplicity and/or variety of ways (1) we </w:t>
            </w:r>
            <w:r w:rsidR="00F00F58">
              <w:rPr>
                <w:rFonts w:ascii="Times New Roman" w:hAnsi="Times New Roman" w:cs="Times New Roman"/>
                <w:iCs/>
                <w:sz w:val="24"/>
                <w:szCs w:val="24"/>
              </w:rPr>
              <w:t>are moving away from wilderness</w:t>
            </w:r>
          </w:p>
          <w:p w:rsidR="003C211A" w:rsidRPr="00D564CC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Use of (negative) question(s) Creates doubt in reader’s mind (1) </w:t>
            </w:r>
          </w:p>
          <w:p w:rsidR="003C211A" w:rsidRPr="00D564CC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And/or questions wisdom of what we are doing (1) </w:t>
            </w:r>
          </w:p>
          <w:p w:rsidR="003C211A" w:rsidRPr="00D564CC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CC">
              <w:rPr>
                <w:rFonts w:ascii="Times New Roman" w:hAnsi="Times New Roman" w:cs="Times New Roman"/>
                <w:iCs/>
                <w:sz w:val="24"/>
                <w:szCs w:val="24"/>
              </w:rPr>
              <w:t>And/or implies agreement with sense of argument</w:t>
            </w:r>
            <w:r w:rsidR="00972F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(1)</w:t>
            </w:r>
          </w:p>
        </w:tc>
      </w:tr>
      <w:tr w:rsidR="003C211A" w:rsidRPr="00D564CC" w:rsidTr="00F00F58">
        <w:trPr>
          <w:gridBefore w:val="1"/>
          <w:wBefore w:w="34" w:type="dxa"/>
          <w:trHeight w:val="80"/>
        </w:trPr>
        <w:tc>
          <w:tcPr>
            <w:tcW w:w="4705" w:type="dxa"/>
            <w:gridSpan w:val="2"/>
          </w:tcPr>
          <w:p w:rsidR="003C211A" w:rsidRPr="00D564CC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3C211A" w:rsidRPr="00D564CC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C211A" w:rsidRPr="00D564CC" w:rsidTr="00F00F58">
        <w:trPr>
          <w:gridBefore w:val="1"/>
          <w:wBefore w:w="34" w:type="dxa"/>
          <w:trHeight w:val="525"/>
        </w:trPr>
        <w:tc>
          <w:tcPr>
            <w:tcW w:w="9180" w:type="dxa"/>
            <w:gridSpan w:val="4"/>
          </w:tcPr>
          <w:p w:rsidR="003C211A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211A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F58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B84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211A" w:rsidRPr="00D564CC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 was nothing special, nothing exceptional, and it was very good indeed. Note</w:t>
            </w:r>
            <w:r w:rsidR="00B84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this: one of the greatest pleasures of birdwatching is the quiet enjoyment of the</w:t>
            </w:r>
            <w:r w:rsidR="00B84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absolutely ordinary.</w:t>
            </w:r>
          </w:p>
          <w:p w:rsidR="003C211A" w:rsidRPr="00D564CC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 then it happened. Bam!</w:t>
            </w:r>
          </w:p>
          <w:p w:rsidR="003C211A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Gone.</w:t>
            </w:r>
          </w:p>
          <w:p w:rsidR="004D2ADE" w:rsidRDefault="004D2ADE" w:rsidP="004D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F58" w:rsidRDefault="004D2ADE" w:rsidP="004D2ADE">
            <w:pPr>
              <w:autoSpaceDE w:val="0"/>
              <w:autoSpaceDN w:val="0"/>
              <w:adjustRightInd w:val="0"/>
              <w:spacing w:after="0" w:line="240" w:lineRule="auto"/>
              <w:rPr>
                <w:rFonts w:ascii="ImprintMT" w:hAnsi="ImprintMT" w:cs="ImprintMT"/>
                <w:sz w:val="24"/>
                <w:szCs w:val="24"/>
              </w:rPr>
            </w:pPr>
            <w:r>
              <w:rPr>
                <w:rFonts w:ascii="ImprintMT" w:hAnsi="ImprintMT" w:cs="ImprintMT"/>
                <w:sz w:val="24"/>
                <w:szCs w:val="24"/>
              </w:rPr>
              <w:t>From the tail of my eye, I saw what I took to be a kestrel. I turned my head to watch it</w:t>
            </w:r>
            <w:r w:rsidR="00F00F58">
              <w:rPr>
                <w:rFonts w:ascii="ImprintMT" w:hAnsi="ImprintMT" w:cs="ImprintMT"/>
                <w:sz w:val="24"/>
                <w:szCs w:val="24"/>
              </w:rPr>
              <w:t xml:space="preserve"> </w:t>
            </w:r>
          </w:p>
          <w:p w:rsidR="00F00F58" w:rsidRDefault="004D2ADE" w:rsidP="004D2ADE">
            <w:pPr>
              <w:autoSpaceDE w:val="0"/>
              <w:autoSpaceDN w:val="0"/>
              <w:adjustRightInd w:val="0"/>
              <w:spacing w:after="0" w:line="240" w:lineRule="auto"/>
              <w:rPr>
                <w:rFonts w:ascii="ImprintMT" w:hAnsi="ImprintMT" w:cs="ImprintMT"/>
                <w:sz w:val="24"/>
                <w:szCs w:val="24"/>
              </w:rPr>
            </w:pPr>
            <w:proofErr w:type="gramStart"/>
            <w:r>
              <w:rPr>
                <w:rFonts w:ascii="ImprintMT" w:hAnsi="ImprintMT" w:cs="ImprintMT"/>
                <w:sz w:val="24"/>
                <w:szCs w:val="24"/>
              </w:rPr>
              <w:t>as</w:t>
            </w:r>
            <w:proofErr w:type="gramEnd"/>
            <w:r>
              <w:rPr>
                <w:rFonts w:ascii="ImprintMT" w:hAnsi="ImprintMT" w:cs="ImprintMT"/>
                <w:sz w:val="24"/>
                <w:szCs w:val="24"/>
              </w:rPr>
              <w:t xml:space="preserve"> it climbed, and I waited for it to go into its hover, according to time-honoured kestrel custom. But it did nothing of the kind. It turned itself into an anchor. Or a </w:t>
            </w:r>
          </w:p>
          <w:p w:rsidR="00F00F58" w:rsidRDefault="004D2ADE" w:rsidP="004D2ADE">
            <w:pPr>
              <w:autoSpaceDE w:val="0"/>
              <w:autoSpaceDN w:val="0"/>
              <w:adjustRightInd w:val="0"/>
              <w:spacing w:after="0" w:line="240" w:lineRule="auto"/>
              <w:rPr>
                <w:rFonts w:ascii="ImprintMT" w:hAnsi="ImprintMT" w:cs="ImprintMT"/>
                <w:sz w:val="24"/>
                <w:szCs w:val="24"/>
              </w:rPr>
            </w:pPr>
            <w:proofErr w:type="gramStart"/>
            <w:r>
              <w:rPr>
                <w:rFonts w:ascii="ImprintMT" w:hAnsi="ImprintMT" w:cs="ImprintMT"/>
                <w:sz w:val="24"/>
                <w:szCs w:val="24"/>
              </w:rPr>
              <w:t>thunderbolt</w:t>
            </w:r>
            <w:proofErr w:type="gramEnd"/>
            <w:r>
              <w:rPr>
                <w:rFonts w:ascii="ImprintMT" w:hAnsi="ImprintMT" w:cs="ImprintMT"/>
                <w:sz w:val="24"/>
                <w:szCs w:val="24"/>
              </w:rPr>
              <w:t>.</w:t>
            </w:r>
            <w:r w:rsidR="00F00F58">
              <w:rPr>
                <w:rFonts w:ascii="ImprintMT" w:hAnsi="ImprintMT" w:cs="ImprintMT"/>
                <w:sz w:val="24"/>
                <w:szCs w:val="24"/>
              </w:rPr>
              <w:t xml:space="preserve"> </w:t>
            </w:r>
          </w:p>
          <w:p w:rsidR="00F00F58" w:rsidRDefault="00F00F58" w:rsidP="004D2ADE">
            <w:pPr>
              <w:autoSpaceDE w:val="0"/>
              <w:autoSpaceDN w:val="0"/>
              <w:adjustRightInd w:val="0"/>
              <w:spacing w:after="0" w:line="240" w:lineRule="auto"/>
              <w:rPr>
                <w:rFonts w:ascii="ImprintMT" w:hAnsi="ImprintMT" w:cs="ImprintMT"/>
                <w:sz w:val="24"/>
                <w:szCs w:val="24"/>
              </w:rPr>
            </w:pPr>
          </w:p>
          <w:p w:rsidR="00F00F58" w:rsidRDefault="004D2ADE" w:rsidP="004D2ADE">
            <w:pPr>
              <w:autoSpaceDE w:val="0"/>
              <w:autoSpaceDN w:val="0"/>
              <w:adjustRightInd w:val="0"/>
              <w:spacing w:after="0" w:line="240" w:lineRule="auto"/>
              <w:rPr>
                <w:rFonts w:ascii="ImprintMT" w:hAnsi="ImprintMT" w:cs="ImprintMT"/>
                <w:sz w:val="24"/>
                <w:szCs w:val="24"/>
              </w:rPr>
            </w:pPr>
            <w:r>
              <w:rPr>
                <w:rFonts w:ascii="ImprintMT" w:hAnsi="ImprintMT" w:cs="ImprintMT"/>
                <w:sz w:val="24"/>
                <w:szCs w:val="24"/>
              </w:rPr>
              <w:t xml:space="preserve">No kestrel this: it crashed into the crowd of martins, and almost as swiftly vanished. I </w:t>
            </w:r>
          </w:p>
          <w:p w:rsidR="004D2ADE" w:rsidRPr="004D2ADE" w:rsidRDefault="004D2ADE" w:rsidP="004D2ADE">
            <w:pPr>
              <w:autoSpaceDE w:val="0"/>
              <w:autoSpaceDN w:val="0"/>
              <w:adjustRightInd w:val="0"/>
              <w:spacing w:after="0" w:line="240" w:lineRule="auto"/>
              <w:rPr>
                <w:rFonts w:ascii="ImprintMT" w:hAnsi="ImprintMT" w:cs="ImprintMT"/>
                <w:sz w:val="24"/>
                <w:szCs w:val="24"/>
              </w:rPr>
            </w:pPr>
            <w:proofErr w:type="gramStart"/>
            <w:r>
              <w:rPr>
                <w:rFonts w:ascii="ImprintMT" w:hAnsi="ImprintMT" w:cs="ImprintMT"/>
                <w:sz w:val="24"/>
                <w:szCs w:val="24"/>
              </w:rPr>
              <w:t>think</w:t>
            </w:r>
            <w:proofErr w:type="gramEnd"/>
            <w:r>
              <w:rPr>
                <w:rFonts w:ascii="ImprintMT" w:hAnsi="ImprintMT" w:cs="ImprintMT"/>
                <w:sz w:val="24"/>
                <w:szCs w:val="24"/>
              </w:rPr>
              <w:t xml:space="preserve"> it got one, but I can’t swear to it, it was all so fast.</w:t>
            </w:r>
          </w:p>
          <w:p w:rsidR="004D2ADE" w:rsidRPr="00D564CC" w:rsidRDefault="004D2ADE" w:rsidP="004D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11A" w:rsidRPr="00D564CC" w:rsidTr="00F00F58">
        <w:trPr>
          <w:gridBefore w:val="1"/>
          <w:wBefore w:w="34" w:type="dxa"/>
          <w:trHeight w:val="525"/>
        </w:trPr>
        <w:tc>
          <w:tcPr>
            <w:tcW w:w="9180" w:type="dxa"/>
            <w:gridSpan w:val="4"/>
            <w:tcBorders>
              <w:left w:val="nil"/>
              <w:right w:val="nil"/>
            </w:tcBorders>
          </w:tcPr>
          <w:p w:rsidR="003C211A" w:rsidRPr="00D564CC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211A" w:rsidRPr="00D564CC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Identify two techniques used in lines 10 and 11 which help convey the idea of speed described in the next two paragraphs (lines 12 – 17). </w:t>
            </w:r>
          </w:p>
        </w:tc>
      </w:tr>
      <w:tr w:rsidR="003C211A" w:rsidRPr="00D564CC" w:rsidTr="00F00F58">
        <w:trPr>
          <w:gridBefore w:val="1"/>
          <w:wBefore w:w="34" w:type="dxa"/>
          <w:trHeight w:val="1874"/>
        </w:trPr>
        <w:tc>
          <w:tcPr>
            <w:tcW w:w="9180" w:type="dxa"/>
            <w:gridSpan w:val="4"/>
            <w:tcBorders>
              <w:left w:val="nil"/>
              <w:bottom w:val="nil"/>
              <w:right w:val="nil"/>
            </w:tcBorders>
          </w:tcPr>
          <w:p w:rsidR="003C211A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211A" w:rsidRPr="00D564CC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Very short sentences; single word/very short paragraphs; colloquialism; monosyllable(s); exclamation mark; (idea of) minor sentence; onomatopoeia. </w:t>
            </w:r>
          </w:p>
          <w:p w:rsidR="003C211A" w:rsidRPr="00D564CC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Any two. </w:t>
            </w:r>
          </w:p>
          <w:p w:rsidR="003C211A" w:rsidRPr="00D564CC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211A" w:rsidRPr="00D564CC" w:rsidRDefault="003C211A" w:rsidP="004D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7E93" w:rsidRDefault="0082733D">
      <w:r>
        <w:t>Extra</w:t>
      </w:r>
    </w:p>
    <w:p w:rsidR="0082733D" w:rsidRPr="007A30C7" w:rsidRDefault="0082733D" w:rsidP="0082733D">
      <w:pPr>
        <w:autoSpaceDE w:val="0"/>
        <w:autoSpaceDN w:val="0"/>
        <w:adjustRightInd w:val="0"/>
        <w:spacing w:after="0" w:line="240" w:lineRule="auto"/>
        <w:rPr>
          <w:rFonts w:ascii="PDONKN+TimesNewRoman,Italic" w:hAnsi="PDONKN+TimesNewRoman,Italic" w:cs="PDONKN+TimesNewRoman,Italic"/>
          <w:color w:val="000000"/>
        </w:rPr>
      </w:pPr>
      <w:r w:rsidRPr="007A30C7">
        <w:rPr>
          <w:rFonts w:ascii="PDONKN+TimesNewRoman,Italic" w:hAnsi="PDONKN+TimesNewRoman,Italic" w:cs="PDONKN+TimesNewRoman,Italic"/>
          <w:color w:val="000000"/>
        </w:rPr>
        <w:t>“</w:t>
      </w:r>
      <w:proofErr w:type="gramStart"/>
      <w:r w:rsidRPr="007A30C7">
        <w:rPr>
          <w:rFonts w:ascii="PDONKN+TimesNewRoman,Italic" w:hAnsi="PDONKN+TimesNewRoman,Italic" w:cs="PDONKN+TimesNewRoman,Italic"/>
          <w:color w:val="000000"/>
        </w:rPr>
        <w:t>reasonable</w:t>
      </w:r>
      <w:proofErr w:type="gramEnd"/>
      <w:r w:rsidRPr="007A30C7">
        <w:rPr>
          <w:rFonts w:ascii="PDONKN+TimesNewRoman,Italic" w:hAnsi="PDONKN+TimesNewRoman,Italic" w:cs="PDONKN+TimesNewRoman,Italic"/>
          <w:color w:val="000000"/>
        </w:rPr>
        <w:t xml:space="preserve"> numbers” (following the colon) expands/explains (1) </w:t>
      </w:r>
    </w:p>
    <w:p w:rsidR="0082733D" w:rsidRDefault="0082733D" w:rsidP="0082733D">
      <w:pPr>
        <w:rPr>
          <w:rFonts w:ascii="PDONKN+TimesNewRoman,Italic" w:hAnsi="PDONKN+TimesNewRoman,Italic" w:cs="PDONKN+TimesNewRoman,Italic"/>
          <w:color w:val="000000"/>
        </w:rPr>
      </w:pPr>
      <w:proofErr w:type="gramStart"/>
      <w:r w:rsidRPr="007A30C7">
        <w:rPr>
          <w:rFonts w:ascii="PDONKN+TimesNewRoman,Italic" w:hAnsi="PDONKN+TimesNewRoman,Italic" w:cs="PDONKN+TimesNewRoman,Italic"/>
          <w:color w:val="000000"/>
        </w:rPr>
        <w:t>the</w:t>
      </w:r>
      <w:proofErr w:type="gramEnd"/>
      <w:r w:rsidRPr="007A30C7">
        <w:rPr>
          <w:rFonts w:ascii="PDONKN+TimesNewRoman,Italic" w:hAnsi="PDONKN+TimesNewRoman,Italic" w:cs="PDONKN+TimesNewRoman,Italic"/>
          <w:color w:val="000000"/>
        </w:rPr>
        <w:t xml:space="preserve"> idea of their being “not rare” (1).</w:t>
      </w:r>
    </w:p>
    <w:tbl>
      <w:tblPr>
        <w:tblW w:w="946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6"/>
      </w:tblGrid>
      <w:tr w:rsidR="0082733D" w:rsidRPr="00323519" w:rsidTr="006F611E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466" w:type="dxa"/>
          </w:tcPr>
          <w:p w:rsidR="0082733D" w:rsidRDefault="0082733D" w:rsidP="006F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PDONKN+TimesNewRoman,Italic" w:hAnsi="PDONKN+TimesNewRoman,Italic" w:cs="PDONKN+TimesNewRoman,Italic"/>
                <w:color w:val="000000"/>
              </w:rPr>
            </w:pPr>
          </w:p>
          <w:p w:rsidR="0082733D" w:rsidRPr="00323519" w:rsidRDefault="0082733D" w:rsidP="006F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PDONKN+TimesNewRoman,Italic" w:hAnsi="PDONKN+TimesNewRoman,Italic" w:cs="PDONKN+TimesNewRoman,Italic"/>
                <w:color w:val="000000"/>
              </w:rPr>
            </w:pPr>
            <w:r w:rsidRPr="00323519">
              <w:rPr>
                <w:rFonts w:ascii="PDONKN+TimesNewRoman,Italic" w:hAnsi="PDONKN+TimesNewRoman,Italic" w:cs="PDONKN+TimesNewRoman,Italic"/>
                <w:color w:val="000000"/>
              </w:rPr>
              <w:t xml:space="preserve">Give the idea of irony/acknowledgement of looseness of meaning/indication that they are not insignificant. </w:t>
            </w:r>
          </w:p>
        </w:tc>
      </w:tr>
    </w:tbl>
    <w:p w:rsidR="0082733D" w:rsidRDefault="0082733D" w:rsidP="0082733D"/>
    <w:sectPr w:rsidR="0082733D" w:rsidSect="00E87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mprint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DONKN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17361"/>
    <w:multiLevelType w:val="hybridMultilevel"/>
    <w:tmpl w:val="F412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11A"/>
    <w:rsid w:val="000F0A30"/>
    <w:rsid w:val="00105FC2"/>
    <w:rsid w:val="0028073D"/>
    <w:rsid w:val="00377E11"/>
    <w:rsid w:val="003C211A"/>
    <w:rsid w:val="004D2ADE"/>
    <w:rsid w:val="007D36CC"/>
    <w:rsid w:val="0082733D"/>
    <w:rsid w:val="00972FF8"/>
    <w:rsid w:val="00B8425E"/>
    <w:rsid w:val="00D307C2"/>
    <w:rsid w:val="00D6280E"/>
    <w:rsid w:val="00E87E93"/>
    <w:rsid w:val="00F00F58"/>
    <w:rsid w:val="00FA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5186-4FE0-4DDE-ADE5-8BC511B3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etreanor1</dc:creator>
  <cp:keywords/>
  <dc:description/>
  <cp:lastModifiedBy>etreanor1</cp:lastModifiedBy>
  <cp:revision>9</cp:revision>
  <dcterms:created xsi:type="dcterms:W3CDTF">2010-03-24T09:18:00Z</dcterms:created>
  <dcterms:modified xsi:type="dcterms:W3CDTF">2010-03-24T10:59:00Z</dcterms:modified>
</cp:coreProperties>
</file>